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CB" w:rsidRPr="009F214D" w:rsidRDefault="00DD59CB" w:rsidP="00DD59CB">
      <w:pPr>
        <w:ind w:right="945"/>
        <w:rPr>
          <w:sz w:val="32"/>
          <w:szCs w:val="32"/>
        </w:rPr>
      </w:pPr>
      <w:proofErr w:type="spellStart"/>
      <w:r>
        <w:rPr>
          <w:sz w:val="36"/>
          <w:szCs w:val="36"/>
        </w:rPr>
        <w:t>Новоалтайская</w:t>
      </w:r>
      <w:proofErr w:type="spellEnd"/>
      <w:r>
        <w:rPr>
          <w:sz w:val="36"/>
          <w:szCs w:val="36"/>
        </w:rPr>
        <w:t xml:space="preserve"> городская организация Профсоюза работников образования </w:t>
      </w:r>
      <w:r w:rsidRPr="009F214D">
        <w:rPr>
          <w:sz w:val="32"/>
          <w:szCs w:val="32"/>
        </w:rPr>
        <w:t>(ул. Октябрьская,9 т 46-1-18)</w:t>
      </w:r>
    </w:p>
    <w:p w:rsidR="00DD59CB" w:rsidRPr="0009258D" w:rsidRDefault="00DD59CB" w:rsidP="00DD59CB">
      <w:pPr>
        <w:spacing w:after="0" w:line="240" w:lineRule="auto"/>
        <w:ind w:left="1418" w:right="945"/>
        <w:rPr>
          <w:rFonts w:ascii="Cambria" w:hAnsi="Cambria"/>
          <w:b/>
          <w:sz w:val="40"/>
          <w:szCs w:val="40"/>
        </w:rPr>
      </w:pPr>
      <w:r w:rsidRPr="0009258D">
        <w:rPr>
          <w:rFonts w:ascii="Cambria" w:hAnsi="Cambria"/>
          <w:b/>
          <w:sz w:val="40"/>
          <w:szCs w:val="40"/>
        </w:rPr>
        <w:t>ИНФОРМАЦИОННЫЙ ЛИСТОК</w:t>
      </w:r>
    </w:p>
    <w:p w:rsidR="00DD59CB" w:rsidRDefault="00DD59CB" w:rsidP="00DD59CB">
      <w:pPr>
        <w:spacing w:after="0" w:line="240" w:lineRule="auto"/>
        <w:ind w:left="1418" w:right="945"/>
        <w:jc w:val="right"/>
        <w:rPr>
          <w:b/>
          <w:sz w:val="28"/>
          <w:szCs w:val="28"/>
        </w:rPr>
      </w:pPr>
      <w:r>
        <w:rPr>
          <w:b/>
          <w:sz w:val="28"/>
          <w:szCs w:val="28"/>
        </w:rPr>
        <w:t xml:space="preserve">Декабрь </w:t>
      </w:r>
      <w:r w:rsidRPr="00A9750E">
        <w:rPr>
          <w:b/>
          <w:sz w:val="28"/>
          <w:szCs w:val="28"/>
        </w:rPr>
        <w:t>2016</w:t>
      </w:r>
    </w:p>
    <w:p w:rsidR="008B6074" w:rsidRDefault="00E303AD"/>
    <w:tbl>
      <w:tblPr>
        <w:tblW w:w="9750" w:type="dxa"/>
        <w:tblCellSpacing w:w="0" w:type="dxa"/>
        <w:tblCellMar>
          <w:left w:w="0" w:type="dxa"/>
          <w:right w:w="0" w:type="dxa"/>
        </w:tblCellMar>
        <w:tblLook w:val="04A0"/>
      </w:tblPr>
      <w:tblGrid>
        <w:gridCol w:w="9144"/>
        <w:gridCol w:w="6"/>
        <w:gridCol w:w="600"/>
      </w:tblGrid>
      <w:tr w:rsidR="00DD59CB" w:rsidRPr="00373814" w:rsidTr="001D27A4">
        <w:trPr>
          <w:trHeight w:val="300"/>
          <w:tblCellSpacing w:w="0" w:type="dxa"/>
        </w:trPr>
        <w:tc>
          <w:tcPr>
            <w:tcW w:w="0" w:type="auto"/>
            <w:hideMark/>
          </w:tcPr>
          <w:p w:rsidR="00DD59CB" w:rsidRPr="00373814" w:rsidRDefault="00DD59CB" w:rsidP="001D27A4">
            <w:pPr>
              <w:spacing w:after="0" w:line="240" w:lineRule="auto"/>
              <w:rPr>
                <w:rFonts w:ascii="Trebuchet MS" w:eastAsia="Times New Roman" w:hAnsi="Trebuchet MS" w:cs="Times New Roman"/>
                <w:color w:val="3A3A34"/>
                <w:sz w:val="20"/>
                <w:szCs w:val="20"/>
                <w:lang w:eastAsia="ru-RU"/>
              </w:rPr>
            </w:pPr>
            <w:r w:rsidRPr="00DD59CB">
              <w:rPr>
                <w:rFonts w:ascii="Trebuchet MS" w:eastAsia="Times New Roman" w:hAnsi="Trebuchet MS" w:cs="Times New Roman"/>
                <w:color w:val="1E68AF"/>
                <w:kern w:val="36"/>
                <w:sz w:val="28"/>
                <w:szCs w:val="28"/>
                <w:lang w:eastAsia="ru-RU"/>
              </w:rPr>
              <w:t xml:space="preserve">Профсоюз определит </w:t>
            </w:r>
            <w:proofErr w:type="spellStart"/>
            <w:r w:rsidRPr="00DD59CB">
              <w:rPr>
                <w:rFonts w:ascii="Trebuchet MS" w:eastAsia="Times New Roman" w:hAnsi="Trebuchet MS" w:cs="Times New Roman"/>
                <w:color w:val="1E68AF"/>
                <w:kern w:val="36"/>
                <w:sz w:val="28"/>
                <w:szCs w:val="28"/>
                <w:lang w:eastAsia="ru-RU"/>
              </w:rPr>
              <w:t>пилотные</w:t>
            </w:r>
            <w:proofErr w:type="spellEnd"/>
            <w:r w:rsidRPr="00DD59CB">
              <w:rPr>
                <w:rFonts w:ascii="Trebuchet MS" w:eastAsia="Times New Roman" w:hAnsi="Trebuchet MS" w:cs="Times New Roman"/>
                <w:color w:val="1E68AF"/>
                <w:kern w:val="36"/>
                <w:sz w:val="28"/>
                <w:szCs w:val="28"/>
                <w:lang w:eastAsia="ru-RU"/>
              </w:rPr>
              <w:t xml:space="preserve"> территории по устранению избыточной отчётности учителей</w:t>
            </w:r>
            <w:r>
              <w:rPr>
                <w:rFonts w:ascii="Trebuchet MS" w:eastAsia="Times New Roman" w:hAnsi="Trebuchet MS" w:cs="Times New Roman"/>
                <w:color w:val="1E68AF"/>
                <w:kern w:val="36"/>
                <w:sz w:val="28"/>
                <w:szCs w:val="28"/>
                <w:lang w:eastAsia="ru-RU"/>
              </w:rPr>
              <w:t>.</w:t>
            </w:r>
          </w:p>
        </w:tc>
        <w:tc>
          <w:tcPr>
            <w:tcW w:w="0" w:type="auto"/>
            <w:hideMark/>
          </w:tcPr>
          <w:p w:rsidR="00DD59CB" w:rsidRPr="00373814" w:rsidRDefault="00DD59CB" w:rsidP="001D27A4">
            <w:pPr>
              <w:spacing w:after="0" w:line="240" w:lineRule="auto"/>
              <w:jc w:val="right"/>
              <w:rPr>
                <w:rFonts w:ascii="Trebuchet MS" w:eastAsia="Times New Roman" w:hAnsi="Trebuchet MS" w:cs="Times New Roman"/>
                <w:color w:val="3A3A34"/>
                <w:sz w:val="20"/>
                <w:szCs w:val="20"/>
                <w:lang w:eastAsia="ru-RU"/>
              </w:rPr>
            </w:pPr>
          </w:p>
        </w:tc>
        <w:tc>
          <w:tcPr>
            <w:tcW w:w="600" w:type="dxa"/>
            <w:hideMark/>
          </w:tcPr>
          <w:p w:rsidR="00DD59CB" w:rsidRPr="00373814" w:rsidRDefault="00DD59CB" w:rsidP="001D27A4">
            <w:pPr>
              <w:spacing w:after="0" w:line="240" w:lineRule="auto"/>
              <w:jc w:val="right"/>
              <w:rPr>
                <w:rFonts w:ascii="Trebuchet MS" w:eastAsia="Times New Roman" w:hAnsi="Trebuchet MS" w:cs="Times New Roman"/>
                <w:color w:val="3A3A34"/>
                <w:sz w:val="20"/>
                <w:szCs w:val="20"/>
                <w:lang w:eastAsia="ru-RU"/>
              </w:rPr>
            </w:pPr>
            <w:r w:rsidRPr="00373814">
              <w:rPr>
                <w:rFonts w:ascii="Trebuchet MS" w:eastAsia="Times New Roman" w:hAnsi="Trebuchet MS" w:cs="Times New Roman"/>
                <w:color w:val="0A3759"/>
                <w:sz w:val="15"/>
                <w:lang w:eastAsia="ru-RU"/>
              </w:rPr>
              <w:t>171</w:t>
            </w:r>
          </w:p>
        </w:tc>
      </w:tr>
    </w:tbl>
    <w:p w:rsidR="00DD59CB" w:rsidRDefault="00DD59CB" w:rsidP="00DD59CB">
      <w:pPr>
        <w:spacing w:after="0" w:line="240" w:lineRule="auto"/>
        <w:jc w:val="both"/>
        <w:rPr>
          <w:rFonts w:ascii="Trebuchet MS" w:eastAsia="Times New Roman" w:hAnsi="Trebuchet MS" w:cs="Times New Roman"/>
          <w:color w:val="333333"/>
          <w:sz w:val="24"/>
          <w:szCs w:val="24"/>
          <w:lang w:eastAsia="ru-RU"/>
        </w:rPr>
      </w:pPr>
      <w:r w:rsidRPr="00373814">
        <w:rPr>
          <w:rFonts w:ascii="Trebuchet MS" w:eastAsia="Times New Roman" w:hAnsi="Trebuchet MS" w:cs="Times New Roman"/>
          <w:color w:val="333333"/>
          <w:sz w:val="24"/>
          <w:szCs w:val="24"/>
          <w:lang w:eastAsia="ru-RU"/>
        </w:rPr>
        <w:t xml:space="preserve">13 декабря на заседании постоянной Комиссии по вопросам повышения профессионального уровня педагогических работников при Центральном Совете Общероссийского Профсоюза образования подвели итоги состоявшегося в октябре-ноябре мониторинга устранения избыточной отчётности педагогических работников в субъектах Российской </w:t>
      </w:r>
      <w:proofErr w:type="spellStart"/>
      <w:r w:rsidRPr="00373814">
        <w:rPr>
          <w:rFonts w:ascii="Trebuchet MS" w:eastAsia="Times New Roman" w:hAnsi="Trebuchet MS" w:cs="Times New Roman"/>
          <w:color w:val="333333"/>
          <w:sz w:val="24"/>
          <w:szCs w:val="24"/>
          <w:lang w:eastAsia="ru-RU"/>
        </w:rPr>
        <w:t>Федерации</w:t>
      </w:r>
      <w:proofErr w:type="gramStart"/>
      <w:r w:rsidRPr="00373814">
        <w:rPr>
          <w:rFonts w:ascii="Trebuchet MS" w:eastAsia="Times New Roman" w:hAnsi="Trebuchet MS" w:cs="Times New Roman"/>
          <w:color w:val="333333"/>
          <w:sz w:val="24"/>
          <w:szCs w:val="24"/>
          <w:lang w:eastAsia="ru-RU"/>
        </w:rPr>
        <w:t>.В</w:t>
      </w:r>
      <w:proofErr w:type="spellEnd"/>
      <w:proofErr w:type="gramEnd"/>
      <w:r w:rsidRPr="00373814">
        <w:rPr>
          <w:rFonts w:ascii="Trebuchet MS" w:eastAsia="Times New Roman" w:hAnsi="Trebuchet MS" w:cs="Times New Roman"/>
          <w:color w:val="333333"/>
          <w:sz w:val="24"/>
          <w:szCs w:val="24"/>
          <w:lang w:eastAsia="ru-RU"/>
        </w:rPr>
        <w:t xml:space="preserve"> результате обсуждения мер и инициатив региональных (межрегиональных) организаций Профсоюза по устранению избыточной отчётности были высказаны предложения об определении </w:t>
      </w:r>
      <w:proofErr w:type="spellStart"/>
      <w:r w:rsidRPr="00373814">
        <w:rPr>
          <w:rFonts w:ascii="Trebuchet MS" w:eastAsia="Times New Roman" w:hAnsi="Trebuchet MS" w:cs="Times New Roman"/>
          <w:color w:val="333333"/>
          <w:sz w:val="24"/>
          <w:szCs w:val="24"/>
          <w:lang w:eastAsia="ru-RU"/>
        </w:rPr>
        <w:t>пилотных</w:t>
      </w:r>
      <w:proofErr w:type="spellEnd"/>
      <w:r w:rsidRPr="00373814">
        <w:rPr>
          <w:rFonts w:ascii="Trebuchet MS" w:eastAsia="Times New Roman" w:hAnsi="Trebuchet MS" w:cs="Times New Roman"/>
          <w:color w:val="333333"/>
          <w:sz w:val="24"/>
          <w:szCs w:val="24"/>
          <w:lang w:eastAsia="ru-RU"/>
        </w:rPr>
        <w:t xml:space="preserve"> территорий по окончательному решению данной задачи.</w:t>
      </w:r>
    </w:p>
    <w:p w:rsidR="00DD59CB" w:rsidRPr="00DD59CB" w:rsidRDefault="00DD59CB" w:rsidP="00DD59CB">
      <w:pPr>
        <w:spacing w:after="0" w:line="240" w:lineRule="auto"/>
        <w:jc w:val="both"/>
        <w:rPr>
          <w:rFonts w:ascii="Trebuchet MS" w:eastAsia="Times New Roman" w:hAnsi="Trebuchet MS" w:cs="Times New Roman"/>
          <w:b/>
          <w:color w:val="333333"/>
          <w:sz w:val="28"/>
          <w:szCs w:val="28"/>
          <w:lang w:eastAsia="ru-RU"/>
        </w:rPr>
      </w:pPr>
      <w:r>
        <w:rPr>
          <w:rFonts w:ascii="Trebuchet MS" w:eastAsia="Times New Roman" w:hAnsi="Trebuchet MS" w:cs="Times New Roman"/>
          <w:b/>
          <w:color w:val="333333"/>
          <w:sz w:val="28"/>
          <w:szCs w:val="28"/>
          <w:lang w:eastAsia="ru-RU"/>
        </w:rPr>
        <w:t xml:space="preserve">                         </w:t>
      </w:r>
      <w:r w:rsidRPr="00DD59CB">
        <w:rPr>
          <w:rFonts w:ascii="Trebuchet MS" w:eastAsia="Times New Roman" w:hAnsi="Trebuchet MS" w:cs="Times New Roman"/>
          <w:b/>
          <w:color w:val="333333"/>
          <w:sz w:val="28"/>
          <w:szCs w:val="28"/>
          <w:lang w:eastAsia="ru-RU"/>
        </w:rPr>
        <w:t>Консультация для ВАС.</w:t>
      </w:r>
    </w:p>
    <w:p w:rsidR="00DD59CB" w:rsidRPr="00DD59CB" w:rsidRDefault="00DD59CB" w:rsidP="00DD59CB">
      <w:pPr>
        <w:spacing w:after="0" w:line="240" w:lineRule="auto"/>
        <w:jc w:val="both"/>
        <w:rPr>
          <w:rFonts w:ascii="Trebuchet MS" w:eastAsia="Times New Roman" w:hAnsi="Trebuchet MS" w:cs="Times New Roman"/>
          <w:b/>
          <w:i/>
          <w:color w:val="333333"/>
          <w:sz w:val="24"/>
          <w:szCs w:val="24"/>
          <w:lang w:eastAsia="ru-RU"/>
        </w:rPr>
      </w:pPr>
      <w:r w:rsidRPr="00DD59CB">
        <w:rPr>
          <w:rFonts w:ascii="Trebuchet MS" w:eastAsia="Times New Roman" w:hAnsi="Trebuchet MS" w:cs="Times New Roman"/>
          <w:b/>
          <w:i/>
          <w:color w:val="333333"/>
          <w:sz w:val="24"/>
          <w:szCs w:val="24"/>
          <w:lang w:eastAsia="ru-RU"/>
        </w:rPr>
        <w:t>Санаторно-курортное лечение</w:t>
      </w:r>
      <w:r>
        <w:rPr>
          <w:rFonts w:ascii="Trebuchet MS" w:eastAsia="Times New Roman" w:hAnsi="Trebuchet MS" w:cs="Times New Roman"/>
          <w:b/>
          <w:i/>
          <w:color w:val="333333"/>
          <w:sz w:val="24"/>
          <w:szCs w:val="24"/>
          <w:lang w:eastAsia="ru-RU"/>
        </w:rPr>
        <w:t xml:space="preserve"> и не только</w:t>
      </w:r>
      <w:r w:rsidRPr="00DD59CB">
        <w:rPr>
          <w:rFonts w:ascii="Trebuchet MS" w:eastAsia="Times New Roman" w:hAnsi="Trebuchet MS" w:cs="Times New Roman"/>
          <w:b/>
          <w:i/>
          <w:color w:val="333333"/>
          <w:sz w:val="24"/>
          <w:szCs w:val="24"/>
          <w:lang w:eastAsia="ru-RU"/>
        </w:rPr>
        <w:t>.</w:t>
      </w:r>
    </w:p>
    <w:p w:rsidR="00DD59CB" w:rsidRDefault="00DD59CB" w:rsidP="00DD59CB">
      <w:pPr>
        <w:spacing w:after="0" w:line="240" w:lineRule="auto"/>
        <w:jc w:val="both"/>
        <w:rPr>
          <w:rFonts w:ascii="Trebuchet MS" w:eastAsia="Times New Roman" w:hAnsi="Trebuchet MS" w:cs="Times New Roman"/>
          <w:color w:val="333333"/>
          <w:sz w:val="24"/>
          <w:szCs w:val="24"/>
          <w:lang w:eastAsia="ru-RU"/>
        </w:rPr>
      </w:pPr>
      <w:r>
        <w:rPr>
          <w:rFonts w:ascii="Trebuchet MS" w:eastAsia="Times New Roman" w:hAnsi="Trebuchet MS" w:cs="Times New Roman"/>
          <w:color w:val="333333"/>
          <w:sz w:val="24"/>
          <w:szCs w:val="24"/>
          <w:lang w:eastAsia="ru-RU"/>
        </w:rPr>
        <w:t>Е</w:t>
      </w:r>
      <w:r w:rsidRPr="00E54F09">
        <w:rPr>
          <w:rFonts w:ascii="Trebuchet MS" w:eastAsia="Times New Roman" w:hAnsi="Trebuchet MS" w:cs="Times New Roman"/>
          <w:color w:val="333333"/>
          <w:sz w:val="24"/>
          <w:szCs w:val="24"/>
          <w:lang w:eastAsia="ru-RU"/>
        </w:rPr>
        <w:t>сли собрать все необходимые документы и сдать их в налоговую инспекцию, то часть расходов, затраченных на лечение, будет компенсирована. Как правильно это сделать?</w:t>
      </w:r>
    </w:p>
    <w:p w:rsidR="00DD59CB" w:rsidRDefault="00DD59CB" w:rsidP="00DD59CB">
      <w:pPr>
        <w:spacing w:after="0" w:line="240" w:lineRule="auto"/>
        <w:jc w:val="both"/>
        <w:rPr>
          <w:rFonts w:ascii="Trebuchet MS" w:eastAsia="Times New Roman" w:hAnsi="Trebuchet MS" w:cs="Times New Roman"/>
          <w:color w:val="333333"/>
          <w:sz w:val="24"/>
          <w:szCs w:val="24"/>
          <w:lang w:eastAsia="ru-RU"/>
        </w:rPr>
      </w:pPr>
      <w:r w:rsidRPr="00E54F09">
        <w:rPr>
          <w:rFonts w:ascii="Trebuchet MS" w:eastAsia="Times New Roman" w:hAnsi="Trebuchet MS" w:cs="Times New Roman"/>
          <w:color w:val="333333"/>
          <w:sz w:val="24"/>
          <w:szCs w:val="24"/>
          <w:lang w:eastAsia="ru-RU"/>
        </w:rPr>
        <w:t>- Налоговым кодексом РФ предусмотрено право налогоплательщика  на получение социального налогового вычета за услуги по лечению, предоставленному медицинским учреждением РФ. Социальный налоговый вычет предоставляется также за оплаченное лечение супруга (супруги), родителей и (или) детей налогоплательщика в возрасте до 18 лет. Перечень предоставляемых медицинских услуг, на которые распространяется налоговый вычет, указан в п. 4 Постановления Правительства России от 19.03.2001 г. № 201 «Услуги по диагностике, профилактике, лечению и медицинской реабилитации при оказании населению медицинской помощи в санаторно-курортных учреждениях».</w:t>
      </w:r>
    </w:p>
    <w:p w:rsidR="00DD59CB" w:rsidRPr="00E54F09" w:rsidRDefault="00DD59CB" w:rsidP="00DD59CB">
      <w:pPr>
        <w:spacing w:after="0" w:line="240" w:lineRule="auto"/>
        <w:jc w:val="both"/>
        <w:rPr>
          <w:rFonts w:ascii="Trebuchet MS" w:eastAsia="Times New Roman" w:hAnsi="Trebuchet MS" w:cs="Times New Roman"/>
          <w:color w:val="333333"/>
          <w:sz w:val="24"/>
          <w:szCs w:val="24"/>
          <w:lang w:eastAsia="ru-RU"/>
        </w:rPr>
      </w:pPr>
      <w:r w:rsidRPr="00E54F09">
        <w:rPr>
          <w:rFonts w:ascii="Trebuchet MS" w:eastAsia="Times New Roman" w:hAnsi="Trebuchet MS" w:cs="Times New Roman"/>
          <w:color w:val="333333"/>
          <w:sz w:val="24"/>
          <w:szCs w:val="24"/>
          <w:lang w:eastAsia="ru-RU"/>
        </w:rPr>
        <w:t>Для получения вычета налогоплательщик должен подать в налоговую инспекцию по месту жительства следующие документы: заявление о предоставлении социального налогового вычета на лечение (и/или) приобретение медикаментов; декларацию по налогу на доходы физических лиц за истекший год, справку из бухгалтерии по месту работы о суммах начисленных доходов и удержанных налогов за истекший год, копии договора на лечение или документов, подтверждающих лечение, копию лицензии медицинского учреждения (санатория) на оказание соответствующих медицинских услуг, справку об оплате медицинских услуг, платежные документы, подтверждающие факт внесения платы за лечение и (или) медикаменты, личные документы.</w:t>
      </w:r>
    </w:p>
    <w:p w:rsidR="00DD59CB" w:rsidRPr="00373814" w:rsidRDefault="00DD59CB" w:rsidP="00DD59CB">
      <w:pPr>
        <w:spacing w:after="0" w:line="240" w:lineRule="auto"/>
        <w:jc w:val="both"/>
        <w:rPr>
          <w:rFonts w:ascii="Trebuchet MS" w:eastAsia="Times New Roman" w:hAnsi="Trebuchet MS" w:cs="Times New Roman"/>
          <w:color w:val="333333"/>
          <w:sz w:val="24"/>
          <w:szCs w:val="24"/>
          <w:lang w:eastAsia="ru-RU"/>
        </w:rPr>
      </w:pPr>
      <w:r w:rsidRPr="00E54F09">
        <w:rPr>
          <w:rFonts w:ascii="Trebuchet MS" w:eastAsia="Times New Roman" w:hAnsi="Trebuchet MS" w:cs="Times New Roman"/>
          <w:color w:val="333333"/>
          <w:sz w:val="24"/>
          <w:szCs w:val="24"/>
          <w:lang w:eastAsia="ru-RU"/>
        </w:rPr>
        <w:t>Факт оплаты подтверждается платежными документами: квитанцией к приходному кассовому ордеру, чеком кассового аппарата, банковскими платежными документами. Сумма денежных средств, подлежащая возврату налогоплательщику по декларации, возвращается на основании заявления налогоплательщика и после проведения налоговыми органами камеральной проверки по данному заявлению.</w:t>
      </w:r>
    </w:p>
    <w:p w:rsidR="00DD59CB" w:rsidRPr="00E303AD" w:rsidRDefault="00DD59CB" w:rsidP="00DD59CB">
      <w:pPr>
        <w:rPr>
          <w:b/>
          <w:sz w:val="24"/>
          <w:szCs w:val="24"/>
        </w:rPr>
      </w:pPr>
      <w:r w:rsidRPr="00E303AD">
        <w:rPr>
          <w:b/>
          <w:sz w:val="24"/>
          <w:szCs w:val="24"/>
        </w:rPr>
        <w:t>В 2017 году городская организация</w:t>
      </w:r>
      <w:r w:rsidR="00E303AD" w:rsidRPr="00E303AD">
        <w:rPr>
          <w:b/>
          <w:sz w:val="24"/>
          <w:szCs w:val="24"/>
        </w:rPr>
        <w:t xml:space="preserve"> Профсоюза  увеличилась на одну </w:t>
      </w:r>
      <w:proofErr w:type="spellStart"/>
      <w:r w:rsidR="00E303AD" w:rsidRPr="00E303AD">
        <w:rPr>
          <w:b/>
          <w:sz w:val="24"/>
          <w:szCs w:val="24"/>
        </w:rPr>
        <w:t>первичку</w:t>
      </w:r>
      <w:proofErr w:type="spellEnd"/>
      <w:r w:rsidR="00E303AD" w:rsidRPr="00E303AD">
        <w:rPr>
          <w:b/>
          <w:sz w:val="24"/>
          <w:szCs w:val="24"/>
        </w:rPr>
        <w:t xml:space="preserve"> и приняла в свои ряды 90 человек. Вы еще не в Профсоюзе? Мы ждем ВАС в наши ряды!</w:t>
      </w:r>
    </w:p>
    <w:sectPr w:rsidR="00DD59CB" w:rsidRPr="00E303AD" w:rsidSect="00D60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9CB"/>
    <w:rsid w:val="0017356C"/>
    <w:rsid w:val="00B52A84"/>
    <w:rsid w:val="00D6081E"/>
    <w:rsid w:val="00DD59CB"/>
    <w:rsid w:val="00E3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shumova</dc:creator>
  <cp:keywords/>
  <dc:description/>
  <cp:lastModifiedBy>shumova</cp:lastModifiedBy>
  <cp:revision>2</cp:revision>
  <dcterms:created xsi:type="dcterms:W3CDTF">2016-12-19T02:42:00Z</dcterms:created>
  <dcterms:modified xsi:type="dcterms:W3CDTF">2016-12-19T02:55:00Z</dcterms:modified>
</cp:coreProperties>
</file>